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0"/>
          <w:shd w:fill="auto" w:val="clear"/>
        </w:rPr>
      </w:pPr>
      <w:r>
        <w:rPr>
          <w:rFonts w:ascii="Calibri" w:hAnsi="Calibri" w:cs="Calibri" w:eastAsia="Calibri"/>
          <w:b/>
          <w:color w:val="000000"/>
          <w:spacing w:val="0"/>
          <w:position w:val="0"/>
          <w:sz w:val="48"/>
          <w:shd w:fill="auto" w:val="clear"/>
        </w:rPr>
        <w:t xml:space="preserve">Regels voor de HKE in het kader van de </w:t>
      </w:r>
      <w:r>
        <w:rPr>
          <w:rFonts w:ascii="Calibri" w:hAnsi="Calibri" w:cs="Calibri" w:eastAsia="Calibri"/>
          <w:b/>
          <w:color w:val="000000"/>
          <w:spacing w:val="0"/>
          <w:position w:val="0"/>
          <w:sz w:val="48"/>
          <w:shd w:fill="FFFFFF" w:val="clear"/>
        </w:rPr>
        <w:t xml:space="preserve">De Wet bestuur en toezicht rechtspersonen (</w:t>
      </w:r>
      <w:r>
        <w:rPr>
          <w:rFonts w:ascii="Calibri" w:hAnsi="Calibri" w:cs="Calibri" w:eastAsia="Calibri"/>
          <w:b/>
          <w:color w:val="000000"/>
          <w:spacing w:val="0"/>
          <w:position w:val="0"/>
          <w:sz w:val="48"/>
          <w:shd w:fill="auto" w:val="clear"/>
        </w:rPr>
        <w:t xml:space="preserve">WBTR).</w:t>
        <w:br/>
      </w:r>
      <w:r>
        <w:rPr>
          <w:rFonts w:ascii="Calibri" w:hAnsi="Calibri" w:cs="Calibri" w:eastAsia="Calibri"/>
          <w:b/>
          <w:color w:val="auto"/>
          <w:spacing w:val="0"/>
          <w:position w:val="0"/>
          <w:sz w:val="48"/>
          <w:shd w:fill="auto" w:val="clear"/>
        </w:rPr>
        <w:br/>
      </w:r>
      <w:r>
        <w:rPr>
          <w:rFonts w:ascii="Calibri" w:hAnsi="Calibri" w:cs="Calibri" w:eastAsia="Calibri"/>
          <w:color w:val="auto"/>
          <w:spacing w:val="0"/>
          <w:position w:val="0"/>
          <w:sz w:val="22"/>
          <w:shd w:fill="auto" w:val="clear"/>
        </w:rPr>
        <w:br/>
      </w:r>
      <w:r>
        <w:rPr>
          <w:rFonts w:ascii="Verdana" w:hAnsi="Verdana" w:cs="Verdana" w:eastAsia="Verdana"/>
          <w:b/>
          <w:color w:val="auto"/>
          <w:spacing w:val="0"/>
          <w:position w:val="0"/>
          <w:sz w:val="20"/>
          <w:u w:val="single"/>
          <w:shd w:fill="auto" w:val="clear"/>
        </w:rPr>
        <w:t xml:space="preserve">WBTR introductie en uitleg </w:t>
        <w:br/>
        <w:br/>
      </w:r>
      <w:r>
        <w:rPr>
          <w:rFonts w:ascii="Verdana" w:hAnsi="Verdana" w:cs="Verdana" w:eastAsia="Verdana"/>
          <w:color w:val="auto"/>
          <w:spacing w:val="0"/>
          <w:position w:val="0"/>
          <w:sz w:val="20"/>
          <w:shd w:fill="auto" w:val="clear"/>
        </w:rPr>
        <w:t xml:space="preserve">Op 1 juli 2021 is de wet WBTR (Wet Bestuur en Toezicht Rechtspersonen) in werking getreden. Deze wet moet ervoor zorgen dat alle verenigingen en stichtingen in ons land voldoen aan een aantal regels met betrekking tot het op orde hebben van hun bestuur en toezicht.</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De wet: </w:t>
      </w:r>
    </w:p>
    <w:p>
      <w:pPr>
        <w:numPr>
          <w:ilvl w:val="0"/>
          <w:numId w:val="2"/>
        </w:numPr>
        <w:spacing w:before="0" w:after="200" w:line="276"/>
        <w:ind w:right="0" w:left="360" w:hanging="360"/>
        <w:jc w:val="left"/>
        <w:rPr>
          <w:rFonts w:ascii="Verdana" w:hAnsi="Verdana" w:cs="Verdana" w:eastAsia="Verdana"/>
          <w:b/>
          <w:color w:val="auto"/>
          <w:spacing w:val="0"/>
          <w:position w:val="0"/>
          <w:sz w:val="20"/>
          <w:u w:val="single"/>
          <w:shd w:fill="auto" w:val="clear"/>
        </w:rPr>
      </w:pPr>
      <w:r>
        <w:rPr>
          <w:rFonts w:ascii="Verdana" w:hAnsi="Verdana" w:cs="Verdana" w:eastAsia="Verdana"/>
          <w:color w:val="auto"/>
          <w:spacing w:val="0"/>
          <w:position w:val="0"/>
          <w:sz w:val="20"/>
          <w:shd w:fill="auto" w:val="clear"/>
        </w:rPr>
        <w:t xml:space="preserve">Beoogt verbeteren van het bestuur en toezicht van verenigingen en stichtingen; het professionaliseren van alle verenigingen/stichtingen. </w:t>
      </w:r>
    </w:p>
    <w:p>
      <w:pPr>
        <w:numPr>
          <w:ilvl w:val="0"/>
          <w:numId w:val="2"/>
        </w:numPr>
        <w:spacing w:before="0" w:after="200" w:line="276"/>
        <w:ind w:right="0" w:left="360" w:hanging="360"/>
        <w:jc w:val="left"/>
        <w:rPr>
          <w:rFonts w:ascii="Verdana" w:hAnsi="Verdana" w:cs="Verdana" w:eastAsia="Verdana"/>
          <w:b/>
          <w:color w:val="auto"/>
          <w:spacing w:val="0"/>
          <w:position w:val="0"/>
          <w:sz w:val="20"/>
          <w:u w:val="single"/>
          <w:shd w:fill="auto" w:val="clear"/>
        </w:rPr>
      </w:pPr>
      <w:r>
        <w:rPr>
          <w:rFonts w:ascii="Verdana" w:hAnsi="Verdana" w:cs="Verdana" w:eastAsia="Verdana"/>
          <w:color w:val="auto"/>
          <w:spacing w:val="0"/>
          <w:position w:val="0"/>
          <w:sz w:val="20"/>
          <w:shd w:fill="auto" w:val="clear"/>
        </w:rPr>
        <w:t xml:space="preserve">Volgt op incidenten en wantoestanden bij grote scholengemeenschappen en woningcorporaties. </w:t>
      </w:r>
    </w:p>
    <w:p>
      <w:pPr>
        <w:numPr>
          <w:ilvl w:val="0"/>
          <w:numId w:val="2"/>
        </w:numPr>
        <w:spacing w:before="0" w:after="200" w:line="276"/>
        <w:ind w:right="0" w:left="360" w:hanging="360"/>
        <w:jc w:val="left"/>
        <w:rPr>
          <w:rFonts w:ascii="Verdana" w:hAnsi="Verdana" w:cs="Verdana" w:eastAsia="Verdana"/>
          <w:b/>
          <w:color w:val="auto"/>
          <w:spacing w:val="0"/>
          <w:position w:val="0"/>
          <w:sz w:val="20"/>
          <w:u w:val="single"/>
          <w:shd w:fill="auto" w:val="clear"/>
        </w:rPr>
      </w:pPr>
      <w:r>
        <w:rPr>
          <w:rFonts w:ascii="Verdana" w:hAnsi="Verdana" w:cs="Verdana" w:eastAsia="Verdana"/>
          <w:color w:val="auto"/>
          <w:spacing w:val="0"/>
          <w:position w:val="0"/>
          <w:sz w:val="20"/>
          <w:shd w:fill="auto" w:val="clear"/>
        </w:rPr>
        <w:t xml:space="preserve">Beoogt te voorkomen dat wanbestuur, onverantwoordelijk financieel beheer, zelfverrijking, misbruik van posities en andere ongewenste activiteiten verenigingen en stichtingen schaden.</w:t>
      </w:r>
    </w:p>
    <w:p>
      <w:pPr>
        <w:numPr>
          <w:ilvl w:val="0"/>
          <w:numId w:val="2"/>
        </w:numPr>
        <w:spacing w:before="0" w:after="200" w:line="276"/>
        <w:ind w:right="0" w:left="360" w:hanging="360"/>
        <w:jc w:val="left"/>
        <w:rPr>
          <w:rFonts w:ascii="Verdana" w:hAnsi="Verdana" w:cs="Verdana" w:eastAsia="Verdana"/>
          <w:b/>
          <w:color w:val="auto"/>
          <w:spacing w:val="0"/>
          <w:position w:val="0"/>
          <w:sz w:val="20"/>
          <w:u w:val="single"/>
          <w:shd w:fill="auto" w:val="clear"/>
        </w:rPr>
      </w:pPr>
      <w:r>
        <w:rPr>
          <w:rFonts w:ascii="Verdana" w:hAnsi="Verdana" w:cs="Verdana" w:eastAsia="Verdana"/>
          <w:color w:val="auto"/>
          <w:spacing w:val="0"/>
          <w:position w:val="0"/>
          <w:sz w:val="20"/>
          <w:shd w:fill="auto" w:val="clear"/>
        </w:rPr>
        <w:t xml:space="preserve">Ziet niet alleen toe op het wijzigen van statuten, maar juist ook op goed bestuur. </w:t>
      </w:r>
    </w:p>
    <w:p>
      <w:pPr>
        <w:numPr>
          <w:ilvl w:val="0"/>
          <w:numId w:val="2"/>
        </w:numPr>
        <w:spacing w:before="0" w:after="200" w:line="276"/>
        <w:ind w:right="0" w:left="360" w:hanging="360"/>
        <w:jc w:val="left"/>
        <w:rPr>
          <w:rFonts w:ascii="Verdana" w:hAnsi="Verdana" w:cs="Verdana" w:eastAsia="Verdana"/>
          <w:b/>
          <w:color w:val="auto"/>
          <w:spacing w:val="0"/>
          <w:position w:val="0"/>
          <w:sz w:val="20"/>
          <w:u w:val="single"/>
          <w:shd w:fill="auto" w:val="clear"/>
        </w:rPr>
      </w:pPr>
      <w:r>
        <w:rPr>
          <w:rFonts w:ascii="Verdana" w:hAnsi="Verdana" w:cs="Verdana" w:eastAsia="Verdana"/>
          <w:color w:val="auto"/>
          <w:spacing w:val="0"/>
          <w:position w:val="0"/>
          <w:sz w:val="20"/>
          <w:shd w:fill="auto" w:val="clear"/>
        </w:rPr>
        <w:t xml:space="preserve">Geldt ook voor kleine verenigingen en stichtingen</w:t>
        <w:br/>
        <w:br/>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u w:val="single"/>
          <w:shd w:fill="auto" w:val="clear"/>
        </w:rPr>
        <w:t xml:space="preserve">Goed bestuur</w:t>
      </w:r>
      <w:r>
        <w:rPr>
          <w:rFonts w:ascii="Verdana" w:hAnsi="Verdana" w:cs="Verdana" w:eastAsia="Verdana"/>
          <w:color w:val="auto"/>
          <w:spacing w:val="0"/>
          <w:position w:val="0"/>
          <w:sz w:val="20"/>
          <w:shd w:fill="auto" w:val="clear"/>
        </w:rPr>
        <w:t xml:space="preserve"> </w:t>
        <w:br/>
        <w:br/>
        <w:t xml:space="preserve">Als bestuurder wil je het beste voor de vereniging. Besturen doe je daarom naar eer en geweten. </w:t>
        <w:br/>
        <w:br/>
        <w:t xml:space="preserve">Als bestuur hebben wij de volgende stappen en of beslissingen genomen om te voldoen aan de wet WBTR: </w:t>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hebben afgesproken dat alle bestuursleden en toezichthouders zullen handelen in het belang van de vereniging. Dat betekent dat wij zullen handelen als bestuurder en niet als privépersoon, zowel intern (binnen de vereniging) als extern (in relatie met derden). </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Bij aankopen stellen wij het belang van de vereniging voorop. In situaties die van belang zijn voor de vereniging, handelen wij niet op basis van onze persoonlijke voorkeur maar op basis van wat goed is voor de vereniging. </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spreken af dat wij integer en transparant handelen. Dat betekent: oog hebben voor het verenigingsbelang en inzicht willen geven in beslissingen. Wij zullen de belangrijkste beslissingen publiceren op een wijze dat de leden kunnen zijn hoe en welke besluiten zijn genomen. </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hebben een visiedocument waarin de doelen van onze vereniging staan. Daarin staat concreet wat de plannen zijn en hoe we die willen bereiken.</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Er is een goede regeling voor onze verenigingsfinanciën. Wij gaan bewust om met uitgaven van het verenigingsgeld en zullen dat zoveel mogelijk gebruiken voor het bereiken van de afgesproken doelen. </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Er is een duidelijke taakomschrijving voor de werkwijze van de penningmeester, zoals het opstellen en laten goedkeuren van een begroting en jaarrekening. </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laten de leden op tijd de financiële verantwoording zien zodat zij er hun oordeel over kunnen geven. </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hebben een kascommissie vanuit de ledenkring die jaarlijks de boekhouding controleert en verslag uitbrengt aan de leden. </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hanteren het vier-ogen-principe bij uitgaven boven een bepaald bedrag. Dat betekent dat er altijd twee bestuursleden akkoord moeten zijn met overboekingen. Verder heeft niet alleen de penningmeester, maar tenminste één ander bestuursleden ook altijd inzicht in de actuele financiële stand van zaken. </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Bij uitgaven vragen wij offertes aan bij verschillende leveranciers. We bespreken de offertes met het bestuur en leggen de besluitvorming over de keuze vast in de notulen. Bij dergelijke opdrachten aan leveranciers wordt dit altijd schriftelijk vastgelegd, zodat duidelijk is wat is afgesproken en onder welke voorwaarden. </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hebben geregeld bestuursbijeenkomsten, stellen daarbij een agenda op en notuleren de belangrijkste genomen besluiten. Wij leggen vast wie bij de bestuursvergaderingen aan- en afwezig zijn. Afspraken worden helder en eenduidig geformuleerd. De verslagen worden bewaard en inzichtelijk gemaakt aan de leden. </w:t>
        <w:br/>
      </w:r>
    </w:p>
    <w:p>
      <w:pPr>
        <w:numPr>
          <w:ilvl w:val="0"/>
          <w:numId w:val="4"/>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vallen niet onder een governance code. </w:t>
      </w:r>
    </w:p>
    <w:p>
      <w:pPr>
        <w:spacing w:before="0" w:after="200" w:line="276"/>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u w:val="single"/>
          <w:shd w:fill="auto" w:val="clear"/>
        </w:rPr>
        <w:t xml:space="preserve">Aansprakelijkheid van bestuursleden</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Binnen de Historische Kring Eibergen gelden de volgende afspraken:</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u w:val="single"/>
          <w:shd w:fill="auto" w:val="clear"/>
        </w:rPr>
        <w:t xml:space="preserve">1.   Voor huidige bestuursleden:</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zorgen er als bestuur voor dat alle huidige bestuursleden goed zijn geïnformeerd over de aansprakelijkheid die kan optreden als gevolg van hun positie als bestuurslid van de vereniging.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spreken af dat bestuurders als volgt handelen:</w:t>
      </w:r>
    </w:p>
    <w:p>
      <w:pPr>
        <w:numPr>
          <w:ilvl w:val="0"/>
          <w:numId w:val="6"/>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Dat we ons bij uitvoeren van de bestuurstaken binnen onze bevoegdheden blijven.</w:t>
        <w:br/>
      </w:r>
    </w:p>
    <w:p>
      <w:pPr>
        <w:numPr>
          <w:ilvl w:val="0"/>
          <w:numId w:val="6"/>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Dat we handelen conform de wet, statuten en eventuele bestuursreglementen.</w:t>
        <w:br/>
      </w:r>
    </w:p>
    <w:p>
      <w:pPr>
        <w:numPr>
          <w:ilvl w:val="0"/>
          <w:numId w:val="6"/>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We houden ons aan de afspraken zoals neergelegd in stap 2 met betrekking tot ‘Goed bestuur'. </w:t>
        <w:br/>
      </w:r>
    </w:p>
    <w:p>
      <w:pPr>
        <w:numPr>
          <w:ilvl w:val="0"/>
          <w:numId w:val="6"/>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bespreken jaarlijks met de leden de financiële toestand van de vereniging.</w:t>
        <w:br/>
      </w:r>
    </w:p>
    <w:p>
      <w:pPr>
        <w:numPr>
          <w:ilvl w:val="0"/>
          <w:numId w:val="6"/>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We voorkomen dat sprake is van tegenstrijdig belang. </w:t>
        <w:br/>
      </w:r>
    </w:p>
    <w:p>
      <w:pPr>
        <w:numPr>
          <w:ilvl w:val="0"/>
          <w:numId w:val="6"/>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voldoen aan de administratieplichten. Alle juridische entiteiten hebben verplichtingen richting belastingdienst. </w:t>
        <w:br/>
      </w:r>
    </w:p>
    <w:p>
      <w:pPr>
        <w:numPr>
          <w:ilvl w:val="0"/>
          <w:numId w:val="6"/>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gaan geen overeenkomsten aan die de vereniging niet kan nakomen. </w:t>
        <w:br/>
      </w:r>
    </w:p>
    <w:p>
      <w:pPr>
        <w:numPr>
          <w:ilvl w:val="0"/>
          <w:numId w:val="6"/>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doen geen betalingstoezeggingen en melden betaalproblemen tijdig aan de belastingdienst als de vereniging in zwaar weer verkeert en afstevent op een faillissement.</w:t>
        <w:br/>
      </w:r>
    </w:p>
    <w:p>
      <w:pPr>
        <w:numPr>
          <w:ilvl w:val="0"/>
          <w:numId w:val="6"/>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zorgen ervoor dat de vereniging voldoet aan relevante wetten, zoals de AVG. </w:t>
      </w:r>
    </w:p>
    <w:p>
      <w:pPr>
        <w:spacing w:before="0" w:after="200" w:line="276"/>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u w:val="single"/>
          <w:shd w:fill="auto" w:val="clear"/>
        </w:rPr>
        <w:t xml:space="preserve">2.   Nieuwe bestuursleden</w:t>
      </w:r>
      <w:r>
        <w:rPr>
          <w:rFonts w:ascii="Verdana" w:hAnsi="Verdana" w:cs="Verdana" w:eastAsia="Verdana"/>
          <w:color w:val="auto"/>
          <w:spacing w:val="0"/>
          <w:position w:val="0"/>
          <w:sz w:val="20"/>
          <w:shd w:fill="auto" w:val="clear"/>
        </w:rPr>
        <w:t xml:space="preserve"> worden goed geïnformeerd over de actuele stand van zaken.</w:t>
      </w:r>
    </w:p>
    <w:p>
      <w:pPr>
        <w:spacing w:before="0" w:after="200" w:line="276"/>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color w:val="auto"/>
          <w:spacing w:val="0"/>
          <w:position w:val="0"/>
          <w:sz w:val="20"/>
          <w:u w:val="single"/>
          <w:shd w:fill="auto" w:val="clear"/>
        </w:rPr>
      </w:pPr>
      <w:r>
        <w:rPr>
          <w:rFonts w:ascii="Verdana" w:hAnsi="Verdana" w:cs="Verdana" w:eastAsia="Verdana"/>
          <w:color w:val="auto"/>
          <w:spacing w:val="0"/>
          <w:position w:val="0"/>
          <w:sz w:val="20"/>
          <w:u w:val="single"/>
          <w:shd w:fill="auto" w:val="clear"/>
        </w:rPr>
        <w:t xml:space="preserve">3.    Voor aftredende bestuursleden</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Bij het neerleggen van een bestuursfunctie regelen wij de volgende zaken:</w:t>
      </w:r>
    </w:p>
    <w:p>
      <w:pPr>
        <w:numPr>
          <w:ilvl w:val="0"/>
          <w:numId w:val="8"/>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Het neerleggen van de bestuursfunctie wordt duidelijk vastgelegd.</w:t>
        <w:br/>
      </w:r>
    </w:p>
    <w:p>
      <w:pPr>
        <w:numPr>
          <w:ilvl w:val="0"/>
          <w:numId w:val="8"/>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Uitschrijving aftredend lid bij de Kamer van Koophandel. </w:t>
        <w:br/>
      </w:r>
    </w:p>
    <w:p>
      <w:pPr>
        <w:numPr>
          <w:ilvl w:val="0"/>
          <w:numId w:val="8"/>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Decharge van de bestuurstaken door de ledenvergadering van de vereniging. </w:t>
        <w:br/>
      </w:r>
    </w:p>
    <w:p>
      <w:pPr>
        <w:numPr>
          <w:ilvl w:val="0"/>
          <w:numId w:val="8"/>
        </w:numPr>
        <w:spacing w:before="0" w:after="200" w:line="276"/>
        <w:ind w:right="0" w:left="360" w:hanging="36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Een goede overdracht naar de nieuwe bestuurder(s).</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u w:val="single"/>
          <w:shd w:fill="auto" w:val="clear"/>
        </w:rPr>
        <w:t xml:space="preserve">Tegenstrijdig belang </w:t>
        <w:br/>
        <w:br/>
      </w:r>
      <w:r>
        <w:rPr>
          <w:rFonts w:ascii="Verdana" w:hAnsi="Verdana" w:cs="Verdana" w:eastAsia="Verdana"/>
          <w:color w:val="auto"/>
          <w:spacing w:val="0"/>
          <w:position w:val="0"/>
          <w:sz w:val="20"/>
          <w:shd w:fill="auto" w:val="clear"/>
        </w:rPr>
        <w:t xml:space="preserve">Als bestuur spreken wij het volgende af over tegenstrijdig belang. </w:t>
        <w:br/>
        <w:t xml:space="preserve">Onze bepalingen: </w:t>
      </w:r>
    </w:p>
    <w:p>
      <w:pPr>
        <w:numPr>
          <w:ilvl w:val="0"/>
          <w:numId w:val="10"/>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Een bestuurslid meldt een (potentieel) tegenstrijdig belang direct bij de overige bestuursleden. </w:t>
        <w:br/>
      </w:r>
    </w:p>
    <w:p>
      <w:pPr>
        <w:numPr>
          <w:ilvl w:val="0"/>
          <w:numId w:val="10"/>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Het bestuurslid deelt alle relevante informatie over het (potentieel) tegenstrijdig belang. </w:t>
        <w:br/>
      </w:r>
    </w:p>
    <w:p>
      <w:pPr>
        <w:numPr>
          <w:ilvl w:val="0"/>
          <w:numId w:val="10"/>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Bij een tegenstrijdig belang zal het bestuurslid niet deelnemen aan de overleggen en besluitvorming bij het onderwerp waar sprake is van het (potentieel) tegenstrijdig belang. </w:t>
        <w:br/>
      </w:r>
    </w:p>
    <w:p>
      <w:pPr>
        <w:numPr>
          <w:ilvl w:val="0"/>
          <w:numId w:val="10"/>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Als alle bestuursleden een tegenstrijdig belang hebben, of omdat een quorum (minimum aantal vereisten stemmen ) of versterkte/volstrekte meerderheid bij de stemming niet wordt gehaald omdat één of meerdere bestuursleden een tegenstrijdig belang heeft, zal het bestuur de beslissing doorverwijzen naar de Algemene Ledenvergadering.</w:t>
        <w:br/>
      </w:r>
    </w:p>
    <w:p>
      <w:pPr>
        <w:numPr>
          <w:ilvl w:val="0"/>
          <w:numId w:val="10"/>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Als een (potentieel) tegenstrijdig belang merken wij als bestuur in ieder geval aan: </w:t>
        <w:br/>
        <w:t xml:space="preserve">I. Het aangaan van een overeenkomst met een geldelijk belang tussen de vereniging enerzijds en de bestuurder en/of relaties van de bestuurder anderzijds. </w:t>
        <w:br/>
        <w:t xml:space="preserve">II. Het vaststellen van de vergoeding van de bestuurder. </w:t>
        <w:br/>
        <w:t xml:space="preserve">III. Het stellen van een zekerheid zoals hypotheek, borg enz. door de vereniging ten behoeve van een bestuurder. </w:t>
        <w:br/>
      </w:r>
    </w:p>
    <w:p>
      <w:pPr>
        <w:numPr>
          <w:ilvl w:val="0"/>
          <w:numId w:val="10"/>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Laatstgenoemde 2 punten worden vastgelegd in de statuten van de Historische Kring Eibergen. </w:t>
      </w:r>
    </w:p>
    <w:p>
      <w:pPr>
        <w:spacing w:before="0" w:after="200" w:line="276"/>
        <w:ind w:right="0" w:left="360" w:firstLine="0"/>
        <w:jc w:val="left"/>
        <w:rPr>
          <w:rFonts w:ascii="Calibri" w:hAnsi="Calibri" w:cs="Calibri" w:eastAsia="Calibri"/>
          <w:color w:val="auto"/>
          <w:spacing w:val="0"/>
          <w:position w:val="0"/>
          <w:sz w:val="22"/>
          <w:u w:val="single"/>
          <w:shd w:fill="auto" w:val="clear"/>
        </w:rPr>
      </w:pPr>
    </w:p>
    <w:p>
      <w:pPr>
        <w:spacing w:before="0" w:after="200" w:line="276"/>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u w:val="single"/>
          <w:shd w:fill="auto" w:val="clear"/>
        </w:rPr>
        <w:t xml:space="preserve">Afwezigheid van één of meer bestuursleden</w:t>
      </w:r>
      <w:r>
        <w:rPr>
          <w:rFonts w:ascii="Verdana" w:hAnsi="Verdana" w:cs="Verdana" w:eastAsia="Verdana"/>
          <w:b/>
          <w:color w:val="auto"/>
          <w:spacing w:val="0"/>
          <w:position w:val="0"/>
          <w:sz w:val="20"/>
          <w:shd w:fill="auto" w:val="clear"/>
        </w:rPr>
        <w:t xml:space="preserve">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Het bestuur van de Historische Kring Eibergen heeft het volgende afgesproken met betrekking tot afwezigheid van één of meer bestuursleden.</w:t>
      </w:r>
    </w:p>
    <w:p>
      <w:pPr>
        <w:numPr>
          <w:ilvl w:val="0"/>
          <w:numId w:val="13"/>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Als sprake is van (tijdelijke) afwezigheid van een bestuurder, dient het betreffende bestuurslid dit direct te melden bij de overige bestuursleden. </w:t>
        <w:br/>
      </w:r>
    </w:p>
    <w:p>
      <w:pPr>
        <w:numPr>
          <w:ilvl w:val="0"/>
          <w:numId w:val="13"/>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Het bestuur handelt zoals opgenomen in de statuten. </w:t>
        <w:br/>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u w:val="single"/>
          <w:shd w:fill="auto" w:val="clear"/>
        </w:rPr>
        <w:t xml:space="preserve">Meervoudig stemrecht</w:t>
      </w:r>
      <w:r>
        <w:rPr>
          <w:rFonts w:ascii="Verdana" w:hAnsi="Verdana" w:cs="Verdana" w:eastAsia="Verdana"/>
          <w:color w:val="auto"/>
          <w:spacing w:val="0"/>
          <w:position w:val="0"/>
          <w:sz w:val="20"/>
          <w:shd w:fill="auto" w:val="clear"/>
        </w:rPr>
        <w:t xml:space="preserve"> </w:t>
        <w:br/>
        <w:br/>
        <w:t xml:space="preserve">Als bestuur hebben wij het volgende vastgesteld ten aanzien van meervoudig stemrecht.</w:t>
        <w:br/>
        <w:br/>
        <w:t xml:space="preserve">Het meervoudig stemrecht is voor onze vereniging niet van toepassing.</w:t>
      </w:r>
    </w:p>
    <w:p>
      <w:pPr>
        <w:spacing w:before="0" w:after="200" w:line="276"/>
        <w:ind w:right="0" w:left="0" w:firstLine="0"/>
        <w:jc w:val="left"/>
        <w:rPr>
          <w:rFonts w:ascii="Verdana" w:hAnsi="Verdana" w:cs="Verdana" w:eastAsia="Verdana"/>
          <w:color w:val="auto"/>
          <w:spacing w:val="0"/>
          <w:position w:val="0"/>
          <w:sz w:val="20"/>
          <w:shd w:fill="auto" w:val="clear"/>
        </w:rPr>
      </w:pP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u w:val="single"/>
          <w:shd w:fill="auto" w:val="clear"/>
        </w:rPr>
        <w:t xml:space="preserve">Toezicht Basis</w:t>
      </w:r>
      <w:r>
        <w:rPr>
          <w:rFonts w:ascii="Verdana" w:hAnsi="Verdana" w:cs="Verdana" w:eastAsia="Verdana"/>
          <w:color w:val="auto"/>
          <w:spacing w:val="0"/>
          <w:position w:val="0"/>
          <w:sz w:val="20"/>
          <w:shd w:fill="auto" w:val="clear"/>
        </w:rPr>
        <w:t xml:space="preserve">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hebben als bestuur het volgende vastgesteld aangaande toezicht</w:t>
      </w:r>
    </w:p>
    <w:p>
      <w:pPr>
        <w:numPr>
          <w:ilvl w:val="0"/>
          <w:numId w:val="15"/>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De Historische Kring Eibergen heeft alleen een bestuur waarbij de taken onderling worden verdeeld. </w:t>
        <w:br/>
      </w:r>
    </w:p>
    <w:p>
      <w:pPr>
        <w:numPr>
          <w:ilvl w:val="0"/>
          <w:numId w:val="15"/>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Wij hebben een dagelijks bestuur bestaande uit voorzitter, secretaris en penningmeester. </w:t>
      </w: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 </w:t>
      </w:r>
    </w:p>
    <w:p>
      <w:pPr>
        <w:spacing w:before="0" w:after="200" w:line="276"/>
        <w:ind w:right="0" w:left="0" w:firstLine="0"/>
        <w:jc w:val="left"/>
        <w:rPr>
          <w:rFonts w:ascii="Verdana" w:hAnsi="Verdana" w:cs="Verdana" w:eastAsia="Verdana"/>
          <w:b/>
          <w:color w:val="auto"/>
          <w:spacing w:val="0"/>
          <w:position w:val="0"/>
          <w:sz w:val="20"/>
          <w:u w:val="single"/>
          <w:shd w:fill="auto" w:val="clear"/>
        </w:rPr>
      </w:pPr>
      <w:r>
        <w:rPr>
          <w:rFonts w:ascii="Verdana" w:hAnsi="Verdana" w:cs="Verdana" w:eastAsia="Verdana"/>
          <w:b/>
          <w:color w:val="auto"/>
          <w:spacing w:val="0"/>
          <w:position w:val="0"/>
          <w:sz w:val="20"/>
          <w:u w:val="single"/>
          <w:shd w:fill="auto" w:val="clear"/>
        </w:rPr>
        <w:t xml:space="preserve">Bindende voordracht van bestuurders</w:t>
      </w:r>
      <w:r>
        <w:rPr>
          <w:rFonts w:ascii="Verdana" w:hAnsi="Verdana" w:cs="Verdana" w:eastAsia="Verdana"/>
          <w:color w:val="auto"/>
          <w:spacing w:val="0"/>
          <w:position w:val="0"/>
          <w:sz w:val="20"/>
          <w:shd w:fill="auto" w:val="clear"/>
        </w:rPr>
        <w:t xml:space="preserve">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hebben het volgende afgesproken inzake bindende voordracht:</w:t>
      </w:r>
    </w:p>
    <w:p>
      <w:pPr>
        <w:numPr>
          <w:ilvl w:val="0"/>
          <w:numId w:val="18"/>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Bestuursleden van onze vereniging worden benoemd door een formeel besluit van de Algemene Ledenvergadering (ALV). De ALV kan zich uitspreken over de benoeming van een bestuurder. </w:t>
        <w:br/>
      </w: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u w:val="single"/>
          <w:shd w:fill="auto" w:val="clear"/>
        </w:rPr>
        <w:t xml:space="preserve">Raadgevende stem</w:t>
      </w:r>
      <w:r>
        <w:rPr>
          <w:rFonts w:ascii="Verdana" w:hAnsi="Verdana" w:cs="Verdana" w:eastAsia="Verdana"/>
          <w:color w:val="auto"/>
          <w:spacing w:val="0"/>
          <w:position w:val="0"/>
          <w:sz w:val="20"/>
          <w:shd w:fill="auto" w:val="clear"/>
        </w:rPr>
        <w:t xml:space="preserve"> </w:t>
      </w: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20"/>
          <w:shd w:fill="auto" w:val="clear"/>
        </w:rPr>
        <w:t xml:space="preserve">Wij hebben over raadgevende stem het volgende afgesproken:</w:t>
      </w:r>
    </w:p>
    <w:p>
      <w:pPr>
        <w:numPr>
          <w:ilvl w:val="0"/>
          <w:numId w:val="21"/>
        </w:numPr>
        <w:spacing w:before="0" w:after="200" w:line="276"/>
        <w:ind w:right="0" w:left="360" w:hanging="360"/>
        <w:jc w:val="left"/>
        <w:rPr>
          <w:rFonts w:ascii="Calibri" w:hAnsi="Calibri" w:cs="Calibri" w:eastAsia="Calibri"/>
          <w:color w:val="auto"/>
          <w:spacing w:val="0"/>
          <w:position w:val="0"/>
          <w:sz w:val="22"/>
          <w:shd w:fill="auto" w:val="clear"/>
        </w:rPr>
      </w:pPr>
      <w:r>
        <w:rPr>
          <w:rFonts w:ascii="Verdana" w:hAnsi="Verdana" w:cs="Verdana" w:eastAsia="Verdana"/>
          <w:color w:val="auto"/>
          <w:spacing w:val="0"/>
          <w:position w:val="0"/>
          <w:sz w:val="20"/>
          <w:shd w:fill="auto" w:val="clear"/>
        </w:rPr>
        <w:t xml:space="preserve">Wij nodigen altijd alle bestuurders en leden uit voor de jaarlijkse Algemene Ledenvergadering, waarbij een ieder een raadgevende stem heeft. </w:t>
      </w: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36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b/>
          <w:color w:val="auto"/>
          <w:spacing w:val="0"/>
          <w:position w:val="0"/>
          <w:sz w:val="20"/>
          <w:u w:val="single"/>
          <w:shd w:fill="auto" w:val="clear"/>
        </w:rPr>
        <w:t xml:space="preserve">Interne borging en statuten</w:t>
      </w:r>
      <w:r>
        <w:rPr>
          <w:rFonts w:ascii="Verdana" w:hAnsi="Verdana" w:cs="Verdana" w:eastAsia="Verdana"/>
          <w:color w:val="auto"/>
          <w:spacing w:val="0"/>
          <w:position w:val="0"/>
          <w:sz w:val="20"/>
          <w:shd w:fill="auto" w:val="clear"/>
        </w:rPr>
        <w:t xml:space="preserve"> </w:t>
        <w:br/>
        <w:br/>
        <w:t xml:space="preserve">De Historische Kring Eibergen beschikt niet over een huishoudelijk/bestuursreglement.</w:t>
        <w:br/>
        <w:br/>
        <w:t xml:space="preserve">De meest recente statuten van de HKE zijn als bijlage toegevoegd.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Aldus vastgesteld in de bestuursvergadering van 28 juni 2021.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2">
    <w:abstractNumId w:val="48"/>
  </w:num>
  <w:num w:numId="4">
    <w:abstractNumId w:val="42"/>
  </w:num>
  <w:num w:numId="6">
    <w:abstractNumId w:val="36"/>
  </w:num>
  <w:num w:numId="8">
    <w:abstractNumId w:val="30"/>
  </w:num>
  <w:num w:numId="10">
    <w:abstractNumId w:val="24"/>
  </w:num>
  <w:num w:numId="13">
    <w:abstractNumId w:val="18"/>
  </w:num>
  <w:num w:numId="15">
    <w:abstractNumId w:val="12"/>
  </w:num>
  <w:num w:numId="18">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